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2162"/>
        <w:gridCol w:w="3240"/>
        <w:tblGridChange w:id="0">
          <w:tblGrid>
            <w:gridCol w:w="4606"/>
            <w:gridCol w:w="2162"/>
            <w:gridCol w:w="324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</w:rPr>
              <w:drawing>
                <wp:inline distB="0" distT="0" distL="0" distR="0">
                  <wp:extent cx="2275840" cy="70104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701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  <w:rtl w:val="0"/>
              </w:rPr>
              <w:t xml:space="preserve">DMC AGENCIJA / INCENTIVE / TEAMBUILDING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Kategorija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 - </w:t>
            </w:r>
            <w:r w:rsidDel="00000000" w:rsidR="00000000" w:rsidRPr="00000000">
              <w:rPr>
                <w:rFonts w:ascii="Tahoma" w:cs="Tahoma" w:eastAsia="Tahoma" w:hAnsi="Tahoma"/>
                <w:smallCaps w:val="1"/>
                <w:color w:val="000000"/>
                <w:sz w:val="20"/>
                <w:szCs w:val="20"/>
                <w:rtl w:val="0"/>
              </w:rPr>
              <w:t xml:space="preserve">DMC AGENCIJA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Datum izdavanja 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Br. dokumenta 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Verzija 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Datum potvrde 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2703"/>
        <w:gridCol w:w="3237"/>
        <w:tblGridChange w:id="0">
          <w:tblGrid>
            <w:gridCol w:w="4068"/>
            <w:gridCol w:w="2703"/>
            <w:gridCol w:w="3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UNUTRAŠNJA PROCJENA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Naziv agencije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Osnivač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Glavna djelatnost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DMC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INCENTIVE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TEAMBUILDING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Članstvo u međunarodnim udruženjima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ICCA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SITE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MPI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drugo (upiši):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Obrazac ispunio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Kontakt osoba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Kontakt podaci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Tel: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E- 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Datum ispunjavanja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1. OPŠTI USLOVI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</w:rPr>
        <w:drawing>
          <wp:inline distB="0" distT="0" distL="114300" distR="114300">
            <wp:extent cx="6397625" cy="2000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481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4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SAMOPROCJENA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OBAVEZNI 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Sve agencije moraju biti zvanično registrovane u Crnoj Gori (licenca za organizovanje i prodaju turističkih aranžmana)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ima barem jednog menadžera koji ima minimum 5 godina iskustva u radu DMC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rPr>
                <w:rFonts w:ascii="Tahoma" w:cs="Tahoma" w:eastAsia="Tahoma" w:hAnsi="Tahoma"/>
                <w:color w:val="99cc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Barem jedan od vođa projekata ima najmanje 5 odgovarajućih referenci na međunarodnim kongresima ili drugim događajima sa barem 50 učesnika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ima barem jednu osobu koja je isključivo posvećena djelatnosti DMC-a (hotelske rezervacije, prevozi, turistički program)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obezbjeđuje rezervacije hotela i drugih smještajnih kapaciteta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pripremu personalizovanih -tailor-made izleta po Crnoj Gori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pripremu programa specijalnih </w:t>
            </w:r>
            <w:r w:rsidDel="00000000" w:rsidR="00000000" w:rsidRPr="00000000">
              <w:rPr>
                <w:rFonts w:ascii="Tahoma" w:cs="Tahoma" w:eastAsia="Tahoma" w:hAnsi="Tahoma"/>
                <w:i w:val="1"/>
                <w:sz w:val="18"/>
                <w:szCs w:val="18"/>
                <w:rtl w:val="0"/>
              </w:rPr>
              <w:t xml:space="preserve">a la carte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izleta (vinski izleti, kulturni izleti itd.)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obezbjeđuje transportnu logistiku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vozila za iznajmljivanje (avioni, autobusi i osobna vozila)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raspolaže poslovnicom, u skladu sa Zakonom o turizmu i ugostiteljstvu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ima barem dvoje redovno zaposlenih koji pokrivaju ključne funkcije agencije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ima zaključen odgovarajući ugovor o osiguranju za zaštitu gostiju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A">
            <w:pP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Agencija pruža profesionalno vođenje sa licenciranim vodičima koji znaju najmanje 2 strana jezika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A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Cijene javno objavljenih programa agencija ne sadrže skrivene troškove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DA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A7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PREPORUČENI 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UOPŠTENO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obezbjeđuje pripremu »incentive« programa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prodaju avionskih karata na redovnim i čarter letovima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po zahtjevu pruža prodaju brodskih i trajektnih karata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obezbjeđuje pripremu »team building« programa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član jedne od međunarodnih organizacija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sa svim klijentima zaključuje poslovne ugovore sa jasno definisanim uslugama, uslovima plaćanja i drugim uzajamnim obavezama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takođe podržava F.I.T. tržišni segment (individualne rezervacije)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sprovodi redovna istraživanja tržišta o zadovoljstvu gostiju i klijenata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realizuje min. 10 projekata godišnje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ima razvijenu metodologiju za obilaske/izlete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svojim gostima dodatna zdravstvena osiguranja na putovanjima ili događajima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u skladu sa zakonom o zaštiti ličnih podataka pripremila pravilnike o zaštiti podataka koje su joj na raspolaganju tokom rada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OSOBLJE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Zaposleni su članovi različitih stručnih i interesnih organizacija iz oblasti turizma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Osoblje redovnih ili honorarnih saradnika obučeno je za komunikaciju na najmanje jednom stranom jeziku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Osoblje agencije ima detaljno znanje i poznavanje usluga ponuđača kongresa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Osoblje agencije redovno pohađa obrazovne seminare i događaje (Kongresni biro, EFCT, IAPCO…)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MARKETING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ima razvijenu veb-stranicu na kojoj promoviše ponudu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pripremila seriju reklamnih poruka za marketing svoje ponude 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redovno učestvuje na međunarodnim kongresnim berzama i poslovnim radionicama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organizuje studijske posjete za potencijalne klijente destinacije iz inostranstva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prisutna u međunarodnim katalozima kao DMC/Incentive/ Teambuilding agencija za Crnu Goru 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PROGRAMI/PONUDE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jasne podatke o organizatoru pojedinih programa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podatke o trajanju pojedinih programa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jasne podatke o načinu rezervacije programa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jasnu i preglednu prezentaciju različitih cijena (osnovna cijena + doplate)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uslove za osiguranje programa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osnovne podatke i uputstva za dobijanje vize 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detaljne podatke o mogućnostima smještaja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podatke o transportu ili mogućnostima transporta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podatke o gastro ponudi i društvenom programu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Sadrže pravila za otkazivanje događaja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2. IZVOĐENJE KONGRESNIH DOGAĐAJA (INCENTIVE, TEAMBUILDING, KONFERENCIJE, POSLOVNI SUSRETI...)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</w:rPr>
        <w:drawing>
          <wp:inline distB="0" distT="0" distL="114300" distR="114300">
            <wp:extent cx="6397625" cy="2000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A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A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SPOLJNA PROCJENA 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8080"/>
                <w:sz w:val="20"/>
                <w:szCs w:val="20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B2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OBAVEZNI 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B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kvalifikovana za pripremu ponuda na domaćem tržištu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kvalifikovana za finansijsko upravljanje projektima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kvalifikovana za kreativan i logistički plan događaja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ima mrežu dobavljača za organizaciju događaja (hoteli, restorani, izvođači) sa kojima je zaključila ugovore o saradnji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D5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PREPORUČENI 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dd9c4" w:val="clea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ORGANIZACIJA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kvalifikovana za menadžment ili koordinaciju potrebnih sala i tehničke opreme prema programu događaja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razne prateće turističke programe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se brine o društvenom programu događaja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organizuje cjelokupnu ponudu banketa i ostalu ugostiteljsku ponudu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organizuje registraciju učesnika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je kvalifikovana za pružanje događaja na posebnim lokacijama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nudi osoblje na licu mjesta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se brine za zaštitu autorskih prava izvođača u skladu sa lokalnim zakonodavstvom u Crnoj Gori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POSEBNE USLUGE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obezbjeđuje izvođače kulturnog programa, moderatore i muzičke izvođače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tehničku podršku za događaje (scena, ton, video, svijetlo)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obezbjeđenje događaja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poklone za učesnike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osigurava sve elemente grafičkog izgleda za događaj te sve potrebne publikacije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TRANSPORT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Tahoma" w:cs="Tahoma" w:eastAsia="Tahoma" w:hAnsi="Tahom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transport učesnicima događaja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Agencija pruža vodiče prema dogovoru u okviru transfera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808080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18"/>
          <w:szCs w:val="18"/>
          <w:rtl w:val="0"/>
        </w:rPr>
        <w:t xml:space="preserve">2. REFERENCE VOĐE PROJEKTA / ORGANIZATORA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18"/>
          <w:szCs w:val="18"/>
        </w:rPr>
        <w:drawing>
          <wp:inline distB="0" distT="0" distL="114300" distR="114300">
            <wp:extent cx="6397625" cy="20002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61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Ime i prezime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63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Naziv agencije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6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Adresa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Telefon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Faks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E-adresa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D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Trenutni položaj u preduzeću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godina / mjeseci na ovom položaju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godina / mjeseci u kongresnoj delatnosti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Br. zaposlenih u vašem preduzeću na neodređeno vrijeme koji se bave organizacijom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Br. zaposlenih na određeno vrijeme i honorarnih saradnika koji se bave organizacijom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Ime, prezime i zaposlenje jednoga od klijenata sa kojim ste organizovali kongres ili događaj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Telefonski broj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Lokacija gdje ste organizovali jedan od kongresa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Kontaktna osoba i telefonski broj</w:t>
            </w:r>
          </w:p>
          <w:p w:rsidR="00000000" w:rsidDel="00000000" w:rsidP="00000000" w:rsidRDefault="00000000" w:rsidRPr="00000000" w14:paraId="000002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predstavnika lokacije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Godišnji broj kongresa ili događaja gdje učestvujete kao vođa projekta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učesnika na najvećem kongresu koji ste organizovali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9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18"/>
          <w:szCs w:val="18"/>
          <w:rtl w:val="0"/>
        </w:rPr>
        <w:t xml:space="preserve">Navedite podatke za 5 poslednjih događaja koji predstavljaju referencu za vašu agenciju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8D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Naziv događaja 1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8E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8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Datum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9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Lokacija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9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Klijent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9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učesnika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9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pratilaca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9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Opis programa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29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(bez pauza za kafu i ručak)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E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A0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Naziv događaja 2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A1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A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Datum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A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Lokacija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A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Klijent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A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učesnika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A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pratilaca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A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Opis programa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2A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(bez pauza za kafu i ručak)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1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B3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Naziv događaja 3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B4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B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Datum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B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Lokacija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B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Klijent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B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učesnika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B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pratilaca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B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Opis programa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2C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(bez pauza za kafu i ručak)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4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C6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Naziv događaja 4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C7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C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Datum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C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Lokacija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C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Klijent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C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učesnika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D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pratilaca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D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Opis programa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2D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(bez pauza za kafu i ručak)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D9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Naziv događaja 5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DA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D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Datum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D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Lokacija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D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Klijent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E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učesnika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E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Broj pratilaca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E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Opis programa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2E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(bez pauza za kafu i ručak)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A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36"/>
          <w:szCs w:val="36"/>
          <w:rtl w:val="0"/>
        </w:rPr>
        <w:t xml:space="preserve">🙪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SPOLJNA PROCJENA (ispunjavaju članovi ocjenjivačke komisije)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</w:rPr>
        <w:drawing>
          <wp:inline distB="0" distT="0" distL="114300" distR="114300">
            <wp:extent cx="5759140" cy="1778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E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SPOLJNA PROCJENA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1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rPr>
                <w:rFonts w:ascii="Tahoma" w:cs="Tahoma" w:eastAsia="Tahoma" w:hAnsi="Tahoma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Datum ispunjavanja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2"/>
        <w:gridCol w:w="1563"/>
        <w:gridCol w:w="2283"/>
        <w:tblGridChange w:id="0">
          <w:tblGrid>
            <w:gridCol w:w="6162"/>
            <w:gridCol w:w="1563"/>
            <w:gridCol w:w="2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F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REZULTATI OCJENE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UKUPNO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UKUPAN BROJ PITANJA (obavezni uslovi)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POZITIVNIH ODGOVORA (obavezni uslovi)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NEGATIVNIH ODGOVORA (obavezni uslovi)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NEODGOVORENIH PITANJA (obavezni uslovi)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UKUPAN BROJ POENA (preporučeni uslovi)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30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31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C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31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Podgorica,  ____________________</w:t>
        <w:tab/>
        <w:tab/>
        <w:tab/>
        <w:tab/>
        <w:t xml:space="preserve">Podgorica, ____________________</w:t>
      </w:r>
    </w:p>
    <w:p w:rsidR="00000000" w:rsidDel="00000000" w:rsidP="00000000" w:rsidRDefault="00000000" w:rsidRPr="00000000" w14:paraId="0000032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Ime i prezime ocjenjivača: </w:t>
        <w:tab/>
        <w:tab/>
        <w:tab/>
        <w:tab/>
        <w:tab/>
        <w:t xml:space="preserve">Ime i prezime ocjenjivača: </w:t>
        <w:tab/>
        <w:tab/>
        <w:tab/>
        <w:tab/>
        <w:tab/>
      </w:r>
    </w:p>
    <w:p w:rsidR="00000000" w:rsidDel="00000000" w:rsidP="00000000" w:rsidRDefault="00000000" w:rsidRPr="00000000" w14:paraId="0000032E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32F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Potpis: </w:t>
        <w:tab/>
        <w:tab/>
        <w:tab/>
        <w:tab/>
        <w:tab/>
        <w:tab/>
        <w:tab/>
        <w:tab/>
        <w:t xml:space="preserve">Potpis:</w:t>
      </w:r>
    </w:p>
    <w:p w:rsidR="00000000" w:rsidDel="00000000" w:rsidP="00000000" w:rsidRDefault="00000000" w:rsidRPr="00000000" w14:paraId="0000033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332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Ime i prezime ocjenjivača: </w:t>
        <w:tab/>
        <w:tab/>
        <w:tab/>
        <w:tab/>
        <w:tab/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33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</w:r>
    </w:p>
    <w:p w:rsidR="00000000" w:rsidDel="00000000" w:rsidP="00000000" w:rsidRDefault="00000000" w:rsidRPr="00000000" w14:paraId="0000033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Potpis: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3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</w:r>
    </w:p>
    <w:p w:rsidR="00000000" w:rsidDel="00000000" w:rsidP="00000000" w:rsidRDefault="00000000" w:rsidRPr="00000000" w14:paraId="0000033B">
      <w:pPr>
        <w:rPr>
          <w:rFonts w:ascii="Noto Sans Symbols" w:cs="Noto Sans Symbols" w:eastAsia="Noto Sans Symbols" w:hAnsi="Noto Sans Symbol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Tahoma" w:cs="Tahoma" w:eastAsia="Tahoma" w:hAnsi="Tahoma"/>
        <w:color w:val="000000"/>
        <w:sz w:val="22"/>
        <w:szCs w:val="22"/>
      </w:rPr>
    </w:pPr>
    <w:r w:rsidDel="00000000" w:rsidR="00000000" w:rsidRPr="00000000">
      <w:rPr>
        <w:rFonts w:ascii="Tahoma" w:cs="Tahoma" w:eastAsia="Tahoma" w:hAnsi="Tahoma"/>
        <w:color w:val="000000"/>
        <w:sz w:val="22"/>
        <w:szCs w:val="22"/>
      </w:rPr>
      <w:drawing>
        <wp:inline distB="0" distT="0" distL="114300" distR="114300">
          <wp:extent cx="5372100" cy="2730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72100" cy="273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ahoma" w:cs="Tahoma" w:eastAsia="Tahoma" w:hAnsi="Tahom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Fonts w:ascii="Tahoma" w:cs="Tahoma" w:eastAsia="Tahoma" w:hAnsi="Tahoma"/>
        <w:color w:val="000000"/>
        <w:sz w:val="16"/>
        <w:szCs w:val="16"/>
        <w:rtl w:val="0"/>
      </w:rPr>
      <w:t xml:space="preserve">Nacionalna turistička organizacija Crne Gore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ab/>
      <w:tab/>
    </w:r>
  </w:p>
  <w:p w:rsidR="00000000" w:rsidDel="00000000" w:rsidP="00000000" w:rsidRDefault="00000000" w:rsidRPr="00000000" w14:paraId="000003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z-Cyrl-U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42" w:hanging="142"/>
    </w:pPr>
    <w:rPr>
      <w:rFonts w:ascii="Bookman Old Style" w:cs="Bookman Old Style" w:eastAsia="Bookman Old Style" w:hAnsi="Bookman Old Styl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xjwaPz/Om2jxXIb3uQiFmoMuw==">CgMxLjAyCGguZ2pkZ3hzMgloLjMwajB6bGw4AHIhMVFPV05GS280REpXb1g2Q2ExTTkwT0ZNeldfTXMyNWQ1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